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10773" w:hanging="0"/>
        <w:jc w:val="left"/>
        <w:rPr/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Приложение №  2</w:t>
      </w:r>
    </w:p>
    <w:p>
      <w:pPr>
        <w:pStyle w:val="Normal"/>
        <w:ind w:hanging="0"/>
        <w:jc w:val="left"/>
        <w:rPr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УТВЕРЖДЕН </w:t>
      </w:r>
    </w:p>
    <w:p>
      <w:pPr>
        <w:pStyle w:val="Normal"/>
        <w:jc w:val="left"/>
        <w:rPr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приказом отдела культуры    </w:t>
      </w:r>
    </w:p>
    <w:p>
      <w:pPr>
        <w:pStyle w:val="Normal"/>
        <w:jc w:val="left"/>
        <w:rPr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>администрации МО Кавказский район</w:t>
      </w:r>
    </w:p>
    <w:p>
      <w:pPr>
        <w:pStyle w:val="Normal"/>
        <w:jc w:val="left"/>
        <w:rPr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от  12 марта 2021 г. № 32 - ОД                                                                                                                                      </w:t>
      </w:r>
    </w:p>
    <w:p>
      <w:pPr>
        <w:pStyle w:val="Normal"/>
        <w:ind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hanging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ПЛАН</w:t>
      </w:r>
    </w:p>
    <w:p>
      <w:pPr>
        <w:pStyle w:val="Normal"/>
        <w:ind w:hanging="0"/>
        <w:jc w:val="center"/>
        <w:rPr>
          <w:b/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по устранению недостатков, выявленных в ходе независимой оценки качества условий оказания услуг</w:t>
      </w:r>
    </w:p>
    <w:p>
      <w:pPr>
        <w:pStyle w:val="Normal"/>
        <w:ind w:hanging="0"/>
        <w:jc w:val="center"/>
        <w:rPr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 </w:t>
      </w:r>
      <w:r>
        <w:rPr>
          <w:b/>
          <w:sz w:val="20"/>
          <w:szCs w:val="20"/>
          <w:u w:val="single"/>
        </w:rPr>
        <w:t>МБУДО ДМШ №2 г. Кропоткин муниципального образования Кавказский район</w:t>
      </w:r>
    </w:p>
    <w:p>
      <w:pPr>
        <w:pStyle w:val="Normal"/>
        <w:ind w:hanging="0"/>
        <w:jc w:val="center"/>
        <w:rPr>
          <w:b/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на 2021 год</w:t>
      </w:r>
    </w:p>
    <w:p>
      <w:pPr>
        <w:pStyle w:val="Normal"/>
        <w:ind w:hanging="0"/>
        <w:jc w:val="center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a4"/>
        <w:tblW w:w="15594" w:type="dxa"/>
        <w:jc w:val="left"/>
        <w:tblInd w:w="-31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095"/>
        <w:gridCol w:w="3783"/>
        <w:gridCol w:w="1706"/>
        <w:gridCol w:w="1971"/>
        <w:gridCol w:w="3339"/>
        <w:gridCol w:w="1699"/>
      </w:tblGrid>
      <w:tr>
        <w:trPr>
          <w:trHeight w:val="528" w:hRule="atLeast"/>
        </w:trPr>
        <w:tc>
          <w:tcPr>
            <w:tcW w:w="3095" w:type="dxa"/>
            <w:vMerge w:val="restart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3783" w:type="dxa"/>
            <w:vMerge w:val="restart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706" w:type="dxa"/>
            <w:vMerge w:val="restart"/>
            <w:tcBorders/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0"/>
              </w:numPr>
              <w:spacing w:lineRule="auto" w:line="240" w:before="0" w:after="0"/>
              <w:ind w:firstLine="12"/>
              <w:jc w:val="center"/>
              <w:outlineLvl w:val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Плановый срок реализации мероприятия</w:t>
            </w:r>
          </w:p>
        </w:tc>
        <w:tc>
          <w:tcPr>
            <w:tcW w:w="1971" w:type="dxa"/>
            <w:vMerge w:val="restart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Ответственный исполнитель</w:t>
            </w:r>
          </w:p>
          <w:p>
            <w:pPr>
              <w:pStyle w:val="Normal"/>
              <w:widowControl/>
              <w:shd w:val="clear" w:color="auto" w:fill="FFFFFF"/>
              <w:spacing w:lineRule="auto" w:line="240" w:before="0" w:after="0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(с указанием фамилии, имени, отчества и должности)</w:t>
            </w:r>
          </w:p>
        </w:tc>
        <w:tc>
          <w:tcPr>
            <w:tcW w:w="5038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Сведения о ходе реализации мероприятия</w:t>
            </w:r>
          </w:p>
        </w:tc>
      </w:tr>
      <w:tr>
        <w:trPr>
          <w:trHeight w:val="1236" w:hRule="atLeast"/>
        </w:trPr>
        <w:tc>
          <w:tcPr>
            <w:tcW w:w="3095" w:type="dxa"/>
            <w:vMerge w:val="continue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3783" w:type="dxa"/>
            <w:vMerge w:val="continue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706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0"/>
              </w:numPr>
              <w:spacing w:lineRule="auto" w:line="240" w:before="0" w:after="0"/>
              <w:ind w:firstLine="12"/>
              <w:jc w:val="center"/>
              <w:outlineLvl w:val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971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333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Реализованные меры по устранению выявленных недостатков</w:t>
            </w:r>
          </w:p>
        </w:tc>
        <w:tc>
          <w:tcPr>
            <w:tcW w:w="169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Фактический срок реализации</w:t>
            </w:r>
          </w:p>
        </w:tc>
      </w:tr>
      <w:tr>
        <w:trPr>
          <w:trHeight w:val="268" w:hRule="atLeast"/>
        </w:trPr>
        <w:tc>
          <w:tcPr>
            <w:tcW w:w="309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378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7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97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333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69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Открытость и доступность информации об организации</w:t>
            </w:r>
          </w:p>
        </w:tc>
      </w:tr>
      <w:tr>
        <w:trPr>
          <w:trHeight w:val="355" w:hRule="atLeast"/>
        </w:trPr>
        <w:tc>
          <w:tcPr>
            <w:tcW w:w="3095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hanging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Несоответствие информации о деятельности образовательной организации, размещенной на официальном сайте организации, ее содержанию и порядку (форме), установленным нормативными правовыми актами. Отсутствует следующая информация: </w:t>
            </w:r>
          </w:p>
          <w:p>
            <w:pPr>
              <w:pStyle w:val="Normal"/>
              <w:spacing w:lineRule="auto" w:line="240" w:before="0" w:after="0"/>
              <w:ind w:hanging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 об условиях питания обучающихся, в том числе инвалидов и лиц с ограниченными возможностями здоровья;</w:t>
            </w:r>
          </w:p>
          <w:p>
            <w:pPr>
              <w:pStyle w:val="Normal"/>
              <w:spacing w:lineRule="auto" w:line="240" w:before="0" w:after="0"/>
              <w:ind w:hanging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 об условиях охраны здоровья обучающихся, в том числе инвалидов и лиц с ограниченными возможностями здоровья.</w:t>
            </w:r>
          </w:p>
        </w:tc>
        <w:tc>
          <w:tcPr>
            <w:tcW w:w="378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Привести в соответствие информацию о деятельности образовательной организации размещенной на официальном сайте организации, ее содержанию и порядку (форме), установленным нормативными правовыми актами в частности: </w:t>
            </w:r>
          </w:p>
          <w:p>
            <w:pPr>
              <w:pStyle w:val="Normal"/>
              <w:spacing w:lineRule="auto" w:line="240" w:before="0" w:after="0"/>
              <w:ind w:hanging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 об условиях питания обучающихся, в том числе инвалидов и лиц с ограниченными возможностями здоровья;</w:t>
            </w:r>
          </w:p>
          <w:p>
            <w:pPr>
              <w:pStyle w:val="Normal"/>
              <w:spacing w:lineRule="auto" w:line="240" w:before="0" w:after="0"/>
              <w:ind w:hanging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 об условиях охраны здоровья обучающихся, в том числе инвалидов и лиц с ограниченными возможностями здоровья</w:t>
            </w:r>
          </w:p>
        </w:tc>
        <w:tc>
          <w:tcPr>
            <w:tcW w:w="17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01.09.2021г</w:t>
            </w:r>
          </w:p>
        </w:tc>
        <w:tc>
          <w:tcPr>
            <w:tcW w:w="197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Самовик Марина Николаевна, директор МБУДО ДМШ №2 г.Кропоткин</w:t>
            </w:r>
          </w:p>
        </w:tc>
        <w:tc>
          <w:tcPr>
            <w:tcW w:w="333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69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</w:tr>
      <w:tr>
        <w:trPr>
          <w:trHeight w:val="355" w:hRule="atLeast"/>
        </w:trPr>
        <w:tc>
          <w:tcPr>
            <w:tcW w:w="309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 в частности:</w:t>
            </w:r>
          </w:p>
          <w:p>
            <w:pPr>
              <w:pStyle w:val="Normal"/>
              <w:spacing w:lineRule="auto" w:line="240" w:before="0" w:after="0"/>
              <w:ind w:hanging="0"/>
              <w:rPr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 электронных сервисов (форма для подачи электронного обращения, получение консультации по оказываемым услугам, раздел «Часто задаваемые вопросы»;</w:t>
            </w:r>
          </w:p>
          <w:p>
            <w:pPr>
              <w:pStyle w:val="Normal"/>
              <w:spacing w:lineRule="auto" w:line="240" w:before="0" w:after="0"/>
              <w:ind w:hanging="0"/>
              <w:rPr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78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Привести в соответствие информацию о деятельности образовательной организации размещенной на официальном сайте организации, ее содержанию и порядку (форме), установленным нормативными правовыми актами в частности: </w:t>
            </w:r>
          </w:p>
          <w:p>
            <w:pPr>
              <w:pStyle w:val="Normal"/>
              <w:spacing w:lineRule="auto" w:line="240" w:before="0" w:after="0"/>
              <w:ind w:hanging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 электронных сервисов (форма для подачи электронного обращения, получение консультации по оказываемым услугам, раздел «Часто задаваемые вопросы»;</w:t>
            </w:r>
          </w:p>
          <w:p>
            <w:pPr>
              <w:pStyle w:val="Normal"/>
              <w:spacing w:lineRule="auto" w:line="240" w:before="0" w:after="0"/>
              <w:ind w:hanging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706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01.09.2021г</w:t>
            </w:r>
          </w:p>
        </w:tc>
        <w:tc>
          <w:tcPr>
            <w:tcW w:w="197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Самовик Марина Николаевна, директор МБУДО ДМШ №2 г.Кропоткин</w:t>
            </w:r>
          </w:p>
        </w:tc>
        <w:tc>
          <w:tcPr>
            <w:tcW w:w="333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6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Комфортность условий предоставления услуг</w:t>
            </w:r>
          </w:p>
        </w:tc>
      </w:tr>
      <w:tr>
        <w:trPr>
          <w:trHeight w:val="355" w:hRule="atLeast"/>
        </w:trPr>
        <w:tc>
          <w:tcPr>
            <w:tcW w:w="309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378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7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97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333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69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Доступность услуг для инвалидов</w:t>
            </w:r>
          </w:p>
        </w:tc>
      </w:tr>
      <w:tr>
        <w:trPr>
          <w:trHeight w:val="355" w:hRule="atLeast"/>
        </w:trPr>
        <w:tc>
          <w:tcPr>
            <w:tcW w:w="309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  <w:p>
            <w:pPr>
              <w:pStyle w:val="Normal"/>
              <w:spacing w:lineRule="auto" w:line="240" w:before="0" w:after="0"/>
              <w:ind w:hanging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-оборудование входных групп пандусами (подъемными платформами);</w:t>
            </w:r>
          </w:p>
          <w:p>
            <w:pPr>
              <w:pStyle w:val="Normal"/>
              <w:spacing w:lineRule="auto" w:line="240" w:before="0" w:after="0"/>
              <w:ind w:hanging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 выделенные стоянки для автотранспортных средств инвалидов;</w:t>
            </w:r>
          </w:p>
          <w:p>
            <w:pPr>
              <w:pStyle w:val="Normal"/>
              <w:spacing w:lineRule="auto" w:line="240" w:before="0" w:after="0"/>
              <w:ind w:hanging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 адаптированные лифты, поручни, расширенные дверные проемы;</w:t>
            </w:r>
          </w:p>
          <w:p>
            <w:pPr>
              <w:pStyle w:val="Normal"/>
              <w:spacing w:lineRule="auto" w:line="240" w:before="0" w:after="0"/>
              <w:ind w:hanging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 сменные кресла-коляски;</w:t>
            </w:r>
          </w:p>
          <w:p>
            <w:pPr>
              <w:pStyle w:val="Normal"/>
              <w:spacing w:lineRule="auto" w:line="240" w:before="0" w:after="0"/>
              <w:ind w:hanging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 специально оборудованные санитарно-гигиенические помещения в организации.</w:t>
            </w:r>
          </w:p>
        </w:tc>
        <w:tc>
          <w:tcPr>
            <w:tcW w:w="378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Привести в соответствие адаптированные  поручни. </w:t>
            </w:r>
          </w:p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7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2021-2022г</w:t>
            </w:r>
          </w:p>
          <w:p>
            <w:pPr>
              <w:pStyle w:val="Normal"/>
              <w:spacing w:lineRule="auto" w:line="240" w:before="0" w:after="0"/>
              <w:ind w:hanging="0"/>
              <w:jc w:val="center"/>
              <w:rPr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по мере финансировани</w:t>
            </w:r>
            <w:r>
              <w:rPr>
                <w:rFonts w:eastAsia="Times New Roman" w:cs="Times New Roman"/>
                <w:sz w:val="20"/>
                <w:szCs w:val="20"/>
              </w:rPr>
              <w:t>я</w:t>
            </w:r>
          </w:p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97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Самовик Марина Николаевна, директор МБУДО ДМШ №2 </w:t>
            </w:r>
          </w:p>
          <w:p>
            <w:pPr>
              <w:pStyle w:val="Normal"/>
              <w:spacing w:lineRule="auto" w:line="240" w:before="0" w:after="0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г.Кропоткин</w:t>
            </w:r>
          </w:p>
        </w:tc>
        <w:tc>
          <w:tcPr>
            <w:tcW w:w="333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69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</w:tr>
      <w:tr>
        <w:trPr>
          <w:trHeight w:val="355" w:hRule="atLeast"/>
        </w:trPr>
        <w:tc>
          <w:tcPr>
            <w:tcW w:w="309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В организации отсутствуют условия доступности, позволяющие инвалидам получать услуги наравне с другими, в частности:</w:t>
            </w:r>
          </w:p>
          <w:p>
            <w:pPr>
              <w:pStyle w:val="Normal"/>
              <w:spacing w:lineRule="auto" w:line="240" w:before="0" w:after="0"/>
              <w:ind w:hanging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  <w:p>
            <w:pPr>
              <w:pStyle w:val="Normal"/>
              <w:spacing w:lineRule="auto" w:line="240" w:before="0" w:after="0"/>
              <w:ind w:hanging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>
            <w:pPr>
              <w:pStyle w:val="Normal"/>
              <w:spacing w:lineRule="auto" w:line="240" w:before="0" w:after="0"/>
              <w:ind w:hanging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 возможность предоставления инвалидам по слуху (слуху и зрению) услуги сурдопереводчика (тифлосурдопереводчика);</w:t>
            </w:r>
          </w:p>
          <w:p>
            <w:pPr>
              <w:pStyle w:val="Normal"/>
              <w:spacing w:lineRule="auto" w:line="240" w:before="0" w:after="0"/>
              <w:ind w:hanging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(инструктирование), по сопровождению инвалидов в помещении организации.</w:t>
            </w:r>
          </w:p>
        </w:tc>
        <w:tc>
          <w:tcPr>
            <w:tcW w:w="378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Обеспечить в организации условия доступности, позволяющие инвалидам получать услуги наравне с другими: </w:t>
            </w:r>
          </w:p>
          <w:p>
            <w:pPr>
              <w:pStyle w:val="Normal"/>
              <w:spacing w:lineRule="auto" w:line="240" w:before="0" w:after="0"/>
              <w:ind w:hanging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 дублировать надписи знаками, выполненными рельефно-точечным шрифтом Брайля.</w:t>
            </w:r>
          </w:p>
          <w:p>
            <w:pPr>
              <w:pStyle w:val="Normal"/>
              <w:spacing w:lineRule="auto" w:line="240" w:before="0" w:after="0"/>
              <w:ind w:hanging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Провести анализ контингента обучающихся с целью выявления потребности услуг сурдопереводчика (тифлосурдопереводчика).</w:t>
            </w:r>
          </w:p>
          <w:p>
            <w:pPr>
              <w:pStyle w:val="Normal"/>
              <w:spacing w:lineRule="auto" w:line="240" w:before="0" w:after="0"/>
              <w:ind w:hanging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Обеспечить необходимое обучение (инструктирование) работникам организации по сопровождению инвалидов в помещении организации.</w:t>
            </w:r>
          </w:p>
        </w:tc>
        <w:tc>
          <w:tcPr>
            <w:tcW w:w="17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  </w:t>
            </w:r>
            <w:r>
              <w:rPr>
                <w:rFonts w:eastAsia="Times New Roman" w:cs="Times New Roman"/>
                <w:sz w:val="20"/>
                <w:szCs w:val="20"/>
              </w:rPr>
              <w:t>2020-2022</w:t>
            </w:r>
          </w:p>
          <w:p>
            <w:pPr>
              <w:pStyle w:val="Normal"/>
              <w:spacing w:lineRule="auto" w:line="240" w:before="0" w:after="0"/>
              <w:ind w:hanging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    </w:t>
            </w:r>
            <w:r>
              <w:rPr>
                <w:rFonts w:eastAsia="Times New Roman" w:cs="Times New Roman"/>
                <w:sz w:val="20"/>
                <w:szCs w:val="20"/>
              </w:rPr>
              <w:t>по мере финансирования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left"/>
              <w:rPr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01.09.2021 г.</w:t>
            </w:r>
          </w:p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01.09.2021 г.</w:t>
            </w:r>
          </w:p>
        </w:tc>
        <w:tc>
          <w:tcPr>
            <w:tcW w:w="197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Самовик Марина Николаевна, директор МБУДО ДМШ №2 г.Кропоткин</w:t>
            </w:r>
          </w:p>
        </w:tc>
        <w:tc>
          <w:tcPr>
            <w:tcW w:w="333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69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Доброжелательность, вежливость работников организации</w:t>
            </w:r>
          </w:p>
        </w:tc>
      </w:tr>
      <w:tr>
        <w:trPr>
          <w:trHeight w:val="355" w:hRule="atLeast"/>
        </w:trPr>
        <w:tc>
          <w:tcPr>
            <w:tcW w:w="309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378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7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97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333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69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Удовлетворенность условиями оказания услуг</w:t>
            </w:r>
          </w:p>
        </w:tc>
      </w:tr>
      <w:tr>
        <w:trPr>
          <w:trHeight w:val="355" w:hRule="atLeast"/>
        </w:trPr>
        <w:tc>
          <w:tcPr>
            <w:tcW w:w="309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378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7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97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333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tcW w:w="169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</w:r>
          </w:p>
        </w:tc>
      </w:tr>
    </w:tbl>
    <w:p>
      <w:pPr>
        <w:pStyle w:val="Normal"/>
        <w:ind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2552" w:right="9183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right="9183" w:hanging="0"/>
        <w:rPr>
          <w:sz w:val="20"/>
          <w:szCs w:val="20"/>
        </w:rPr>
      </w:pPr>
      <w:r>
        <w:rPr>
          <w:sz w:val="20"/>
          <w:szCs w:val="20"/>
        </w:rPr>
        <w:t>Исполнитель Самовик Марина Николаевна,</w:t>
      </w:r>
    </w:p>
    <w:p>
      <w:pPr>
        <w:pStyle w:val="Normal"/>
        <w:ind w:right="9183" w:hanging="0"/>
        <w:rPr/>
      </w:pPr>
      <w:r>
        <w:rPr>
          <w:color w:val="333333"/>
          <w:sz w:val="20"/>
          <w:szCs w:val="20"/>
        </w:rPr>
        <w:t>8928 4391352</w:t>
      </w:r>
    </w:p>
    <w:p>
      <w:pPr>
        <w:pStyle w:val="Normal"/>
        <w:ind w:right="9183" w:hanging="0"/>
        <w:rPr>
          <w:color w:val="333333"/>
          <w:sz w:val="20"/>
          <w:szCs w:val="20"/>
        </w:rPr>
      </w:pPr>
      <w:r>
        <w:rPr/>
      </w:r>
    </w:p>
    <w:p>
      <w:pPr>
        <w:pStyle w:val="Normal"/>
        <w:ind w:right="9183" w:hanging="0"/>
        <w:rPr>
          <w:color w:val="333333"/>
          <w:sz w:val="20"/>
          <w:szCs w:val="20"/>
        </w:rPr>
      </w:pPr>
      <w:r>
        <w:rPr/>
      </w:r>
    </w:p>
    <w:p>
      <w:pPr>
        <w:pStyle w:val="Normal"/>
        <w:ind w:right="9183" w:hanging="0"/>
        <w:rPr>
          <w:color w:val="333333"/>
          <w:sz w:val="20"/>
          <w:szCs w:val="20"/>
        </w:rPr>
      </w:pPr>
      <w:r>
        <w:rPr/>
      </w:r>
    </w:p>
    <w:p>
      <w:pPr>
        <w:pStyle w:val="Normal"/>
        <w:ind w:right="9183" w:hanging="0"/>
        <w:rPr>
          <w:color w:val="333333"/>
          <w:sz w:val="20"/>
          <w:szCs w:val="20"/>
        </w:rPr>
      </w:pPr>
      <w:r>
        <w:rPr/>
      </w:r>
    </w:p>
    <w:p>
      <w:pPr>
        <w:pStyle w:val="Normal"/>
        <w:ind w:right="9183" w:hanging="0"/>
        <w:rPr>
          <w:color w:val="333333"/>
          <w:sz w:val="20"/>
          <w:szCs w:val="20"/>
        </w:rPr>
      </w:pPr>
      <w:r>
        <w:rPr/>
      </w:r>
    </w:p>
    <w:p>
      <w:pPr>
        <w:pStyle w:val="Normal"/>
        <w:ind w:right="9183" w:hanging="0"/>
        <w:rPr>
          <w:color w:val="333333"/>
          <w:sz w:val="20"/>
          <w:szCs w:val="20"/>
        </w:rPr>
      </w:pPr>
      <w:r>
        <w:rPr/>
      </w:r>
    </w:p>
    <w:p>
      <w:pPr>
        <w:pStyle w:val="Normal"/>
        <w:ind w:right="9183" w:hanging="0"/>
        <w:rPr>
          <w:color w:val="333333"/>
          <w:sz w:val="20"/>
          <w:szCs w:val="20"/>
        </w:rPr>
      </w:pPr>
      <w:r>
        <w:rPr/>
      </w:r>
    </w:p>
    <w:p>
      <w:pPr>
        <w:pStyle w:val="Normal"/>
        <w:ind w:right="9183" w:hanging="0"/>
        <w:rPr>
          <w:color w:val="333333"/>
          <w:sz w:val="20"/>
          <w:szCs w:val="20"/>
        </w:rPr>
      </w:pPr>
      <w:r>
        <w:rPr/>
      </w:r>
    </w:p>
    <w:p>
      <w:pPr>
        <w:pStyle w:val="Normal"/>
        <w:ind w:right="9183" w:hanging="0"/>
        <w:rPr>
          <w:color w:val="333333"/>
          <w:sz w:val="20"/>
          <w:szCs w:val="20"/>
        </w:rPr>
      </w:pPr>
      <w:r>
        <w:rPr/>
      </w:r>
    </w:p>
    <w:p>
      <w:pPr>
        <w:pStyle w:val="Normal"/>
        <w:ind w:right="9183" w:hanging="0"/>
        <w:rPr>
          <w:color w:val="333333"/>
          <w:sz w:val="20"/>
          <w:szCs w:val="20"/>
        </w:rPr>
      </w:pPr>
      <w:r>
        <w:rPr/>
      </w:r>
    </w:p>
    <w:p>
      <w:pPr>
        <w:pStyle w:val="Normal"/>
        <w:ind w:right="9183" w:hanging="0"/>
        <w:rPr>
          <w:color w:val="333333"/>
          <w:sz w:val="20"/>
          <w:szCs w:val="20"/>
        </w:rPr>
      </w:pPr>
      <w:r>
        <w:rPr/>
      </w:r>
    </w:p>
    <w:p>
      <w:pPr>
        <w:pStyle w:val="Normal"/>
        <w:ind w:right="9183" w:hanging="0"/>
        <w:rPr>
          <w:color w:val="333333"/>
          <w:sz w:val="20"/>
          <w:szCs w:val="20"/>
        </w:rPr>
      </w:pPr>
      <w:r>
        <w:rPr/>
      </w:r>
    </w:p>
    <w:p>
      <w:pPr>
        <w:pStyle w:val="Normal"/>
        <w:ind w:right="9183" w:hanging="0"/>
        <w:rPr>
          <w:color w:val="333333"/>
          <w:sz w:val="20"/>
          <w:szCs w:val="20"/>
        </w:rPr>
      </w:pPr>
      <w:r>
        <w:rPr/>
      </w:r>
    </w:p>
    <w:p>
      <w:pPr>
        <w:pStyle w:val="Normal"/>
        <w:ind w:right="9183" w:hanging="0"/>
        <w:rPr>
          <w:color w:val="333333"/>
          <w:sz w:val="20"/>
          <w:szCs w:val="20"/>
        </w:rPr>
      </w:pPr>
      <w:r>
        <w:rPr/>
      </w:r>
    </w:p>
    <w:p>
      <w:pPr>
        <w:pStyle w:val="Normal"/>
        <w:ind w:right="9183" w:hanging="0"/>
        <w:rPr>
          <w:color w:val="333333"/>
          <w:sz w:val="20"/>
          <w:szCs w:val="20"/>
        </w:rPr>
      </w:pPr>
      <w:r>
        <w:rPr/>
      </w:r>
    </w:p>
    <w:p>
      <w:pPr>
        <w:pStyle w:val="Normal"/>
        <w:ind w:right="9183" w:hanging="0"/>
        <w:rPr>
          <w:color w:val="333333"/>
          <w:sz w:val="20"/>
          <w:szCs w:val="20"/>
        </w:rPr>
      </w:pPr>
      <w:r>
        <w:rPr/>
      </w:r>
    </w:p>
    <w:p>
      <w:pPr>
        <w:pStyle w:val="Normal"/>
        <w:spacing w:lineRule="auto" w:line="240" w:before="0" w:after="0"/>
        <w:ind w:hanging="0"/>
        <w:jc w:val="left"/>
        <w:rPr>
          <w:szCs w:val="20"/>
        </w:rPr>
      </w:pPr>
      <w:r>
        <w:rPr>
          <w:rFonts w:eastAsia="Times New Roman" w:cs="Times New Roman"/>
          <w:sz w:val="20"/>
          <w:szCs w:val="20"/>
        </w:rPr>
        <w:t>«Заключение о возможности обеспечения доступа маломобильных групп населения в помещения первого этажа к зоне оказания услуг в здании МБУДО ДМШ №2 г. Кропоткин МО Кавказского района» № 007-022019-ТЗ:</w:t>
      </w:r>
    </w:p>
    <w:p>
      <w:pPr>
        <w:pStyle w:val="Normal"/>
        <w:spacing w:lineRule="auto" w:line="240" w:before="0" w:after="0"/>
        <w:ind w:hanging="0"/>
        <w:jc w:val="left"/>
        <w:rPr>
          <w:szCs w:val="20"/>
        </w:rPr>
      </w:pPr>
      <w:r>
        <w:rPr>
          <w:rFonts w:eastAsia="Times New Roman" w:cs="Times New Roman"/>
          <w:sz w:val="20"/>
          <w:szCs w:val="20"/>
        </w:rPr>
        <w:t>- установка пандуса или подъемной платформы на входе в здание невозможна, т.к. отсутствует место для установки на земельном участке;</w:t>
      </w:r>
    </w:p>
    <w:p>
      <w:pPr>
        <w:pStyle w:val="Normal"/>
        <w:spacing w:lineRule="auto" w:line="240" w:before="0" w:after="0"/>
        <w:ind w:hanging="0"/>
        <w:jc w:val="left"/>
        <w:rPr>
          <w:szCs w:val="20"/>
        </w:rPr>
      </w:pPr>
      <w:r>
        <w:rPr>
          <w:rFonts w:eastAsia="Times New Roman" w:cs="Times New Roman"/>
          <w:sz w:val="20"/>
          <w:szCs w:val="20"/>
        </w:rPr>
        <w:t xml:space="preserve"> </w:t>
      </w:r>
      <w:r>
        <w:rPr>
          <w:rFonts w:eastAsia="Times New Roman" w:cs="Times New Roman"/>
          <w:sz w:val="20"/>
          <w:szCs w:val="20"/>
        </w:rPr>
        <w:t>-выделение мест для стоянки автотранспортных средств инвалидов невозможно, т.к. отсутствует место для установки на земельном участке;</w:t>
      </w:r>
    </w:p>
    <w:p>
      <w:pPr>
        <w:pStyle w:val="Normal"/>
        <w:spacing w:lineRule="auto" w:line="240" w:before="0" w:after="0"/>
        <w:ind w:hanging="0"/>
        <w:jc w:val="left"/>
        <w:rPr>
          <w:szCs w:val="20"/>
        </w:rPr>
      </w:pPr>
      <w:r>
        <w:rPr>
          <w:rFonts w:eastAsia="Times New Roman" w:cs="Times New Roman"/>
          <w:sz w:val="20"/>
          <w:szCs w:val="20"/>
        </w:rPr>
        <w:t>- расширение дверных проемов невозможно, т.к. стены несущие. При расширении дверных проемов опирание элементов конструкций на кладку стен будет нарушено, что приведет к разрушению конструкций;</w:t>
      </w:r>
    </w:p>
    <w:p>
      <w:pPr>
        <w:pStyle w:val="Normal"/>
        <w:spacing w:lineRule="auto" w:line="240" w:before="0" w:after="0"/>
        <w:ind w:hanging="0"/>
        <w:jc w:val="left"/>
        <w:rPr>
          <w:szCs w:val="20"/>
        </w:rPr>
      </w:pPr>
      <w:r>
        <w:rPr>
          <w:rFonts w:eastAsia="Times New Roman" w:cs="Times New Roman"/>
          <w:sz w:val="20"/>
          <w:szCs w:val="20"/>
        </w:rPr>
        <w:t xml:space="preserve"> </w:t>
      </w:r>
      <w:r>
        <w:rPr>
          <w:rFonts w:eastAsia="Times New Roman" w:cs="Times New Roman"/>
          <w:sz w:val="20"/>
          <w:szCs w:val="20"/>
        </w:rPr>
        <w:t xml:space="preserve">- расширение санузла за счет коридора невозможно, т.к. будут нарушены пожарные нормы (п 4.3.4 СП 1.13130.2009 «Системы противопожарной защиты. Эвакуационные пути и выходы». </w:t>
      </w:r>
    </w:p>
    <w:sectPr>
      <w:type w:val="nextPage"/>
      <w:pgSz w:orient="landscape" w:w="16838" w:h="11906"/>
      <w:pgMar w:left="1191" w:right="794" w:header="0" w:top="567" w:footer="0" w:bottom="62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11edb"/>
    <w:pPr>
      <w:widowControl w:val="false"/>
      <w:bidi w:val="0"/>
      <w:spacing w:lineRule="auto" w:line="240" w:before="0" w:after="0"/>
      <w:ind w:firstLine="567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630bd6"/>
    <w:pPr>
      <w:spacing w:before="0" w:after="0"/>
      <w:ind w:left="720" w:firstLine="567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630bd6"/>
    <w:pPr>
      <w:spacing w:after="0" w:line="240" w:lineRule="auto"/>
    </w:pPr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Application>LibreOffice/6.2.3.2$Windows_x86 LibreOffice_project/aecc05fe267cc68dde00352a451aa867b3b546ac</Application>
  <Pages>4</Pages>
  <Words>684</Words>
  <Characters>4944</Characters>
  <CharactersWithSpaces>6276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2021-03-10T11:40:00Z</dcterms:created>
  <dc:creator>Пользователь</dc:creator>
  <dc:description/>
  <dc:language>ru-RU</dc:language>
  <cp:lastModifiedBy/>
  <cp:lastPrinted>2021-03-25T18:36:54Z</cp:lastPrinted>
  <dcterms:modified xsi:type="dcterms:W3CDTF">2021-03-25T18:37:00Z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